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7E157F5"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910A47">
        <w:rPr>
          <w:rFonts w:cs="Arial"/>
          <w:b/>
          <w:bCs/>
          <w:sz w:val="24"/>
        </w:rPr>
        <w:t>0366</w:t>
      </w:r>
    </w:p>
    <w:p w14:paraId="792F6588" w14:textId="2850D7E9" w:rsidR="00DE2466" w:rsidRPr="00676273" w:rsidRDefault="00266636"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eMeeting</w:t>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45355E">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2B2885D0"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(MWAB mobility)</w:t>
      </w:r>
    </w:p>
    <w:p w14:paraId="19D8CDF3" w14:textId="77777777" w:rsidR="009B63BB" w:rsidRDefault="009B63BB" w:rsidP="00AF4759">
      <w:pPr>
        <w:spacing w:after="60"/>
        <w:rPr>
          <w:rFonts w:ascii="Arial" w:hAnsi="Arial" w:cs="Arial"/>
          <w:b/>
        </w:rPr>
      </w:pPr>
    </w:p>
    <w:p w14:paraId="209B1152" w14:textId="071DD845"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500053</w:t>
      </w:r>
      <w:r w:rsidR="007C5429">
        <w:rPr>
          <w:rFonts w:ascii="Arial" w:hAnsi="Arial" w:cs="Arial"/>
          <w:b/>
        </w:rPr>
        <w:t>/</w:t>
      </w:r>
      <w:r w:rsidR="0019257F">
        <w:rPr>
          <w:rFonts w:ascii="Arial" w:hAnsi="Arial" w:cs="Arial"/>
          <w:b/>
        </w:rPr>
        <w:t>R</w:t>
      </w:r>
      <w:r w:rsidR="006B17A6">
        <w:rPr>
          <w:rFonts w:ascii="Arial" w:hAnsi="Arial" w:cs="Arial"/>
          <w:b/>
        </w:rPr>
        <w:t>3-247910</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2E102CF8"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910A47">
        <w:rPr>
          <w:rFonts w:ascii="Arial" w:hAnsi="Arial" w:cs="Arial"/>
          <w:bCs/>
        </w:rPr>
        <w:t>23.501 CR 2934</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44195FDD"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500053/R3-247910</w:t>
      </w:r>
      <w:r w:rsidR="00F00585">
        <w:rPr>
          <w:rFonts w:ascii="Arial" w:hAnsi="Arial"/>
        </w:rPr>
        <w:t>)</w:t>
      </w:r>
      <w:r w:rsidR="003C5DB1">
        <w:rPr>
          <w:rFonts w:ascii="Arial" w:hAnsi="Arial"/>
        </w:rPr>
        <w:t xml:space="preserve"> on </w:t>
      </w:r>
      <w:r w:rsidR="00722604">
        <w:rPr>
          <w:rFonts w:ascii="Arial" w:hAnsi="Arial" w:cs="Arial"/>
          <w:bCs/>
        </w:rPr>
        <w:t>FS_VMR_Ph2 solution impacts to RAN with focus on MWAB mobility</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34E6C33" w14:textId="77777777" w:rsidR="00AE7798" w:rsidRPr="00AE7798" w:rsidRDefault="00AE7798" w:rsidP="00AE7798">
      <w:pPr>
        <w:spacing w:after="120"/>
        <w:ind w:left="720"/>
        <w:rPr>
          <w:rFonts w:ascii="Arial" w:hAnsi="Arial" w:cs="Arial"/>
          <w:b/>
          <w:i/>
          <w:iCs/>
        </w:rPr>
      </w:pPr>
      <w:r w:rsidRPr="00AE7798">
        <w:rPr>
          <w:rFonts w:ascii="Arial" w:hAnsi="Arial" w:cs="Arial"/>
          <w:b/>
          <w:i/>
          <w:iCs/>
        </w:rPr>
        <w:t>1. Overall Description:</w:t>
      </w:r>
    </w:p>
    <w:p w14:paraId="0299BDBE" w14:textId="77777777" w:rsidR="00AE7798" w:rsidRPr="00AE7798" w:rsidRDefault="00AE7798" w:rsidP="00AE7798">
      <w:pPr>
        <w:ind w:left="720"/>
        <w:jc w:val="both"/>
        <w:rPr>
          <w:rFonts w:ascii="Arial" w:hAnsi="Arial" w:cs="Arial"/>
          <w:i/>
          <w:iCs/>
        </w:rPr>
      </w:pPr>
      <w:r w:rsidRPr="00AE7798">
        <w:rPr>
          <w:rFonts w:ascii="Arial" w:hAnsi="Arial" w:cs="Arial"/>
          <w:i/>
          <w:iCs/>
        </w:rPr>
        <w:t xml:space="preserve">RAN3 would like to thank SA2 for their LS on </w:t>
      </w:r>
      <w:r w:rsidRPr="00AE7798">
        <w:rPr>
          <w:rFonts w:ascii="Arial" w:hAnsi="Arial" w:cs="Arial"/>
          <w:bCs/>
          <w:i/>
          <w:iCs/>
        </w:rPr>
        <w:t>FS_VMR_Ph2 solution impacts to RAN</w:t>
      </w:r>
      <w:r w:rsidRPr="00AE7798">
        <w:rPr>
          <w:rFonts w:ascii="Arial" w:hAnsi="Arial" w:cs="Arial"/>
          <w:i/>
          <w:iCs/>
        </w:rPr>
        <w:t xml:space="preserve"> (</w:t>
      </w:r>
      <w:r w:rsidRPr="00AE7798">
        <w:rPr>
          <w:rFonts w:ascii="Arial" w:hAnsi="Arial" w:cs="Arial"/>
          <w:bCs/>
          <w:i/>
          <w:iCs/>
        </w:rPr>
        <w:t>R3-243021/</w:t>
      </w:r>
      <w:r w:rsidRPr="00AE7798">
        <w:rPr>
          <w:rFonts w:ascii="Arial" w:eastAsia="MS Mincho" w:hAnsi="Arial"/>
          <w:i/>
          <w:iCs/>
          <w:szCs w:val="14"/>
        </w:rPr>
        <w:t>S2-2405822</w:t>
      </w:r>
      <w:r w:rsidRPr="00AE7798">
        <w:rPr>
          <w:rFonts w:ascii="Arial" w:hAnsi="Arial" w:cs="Arial"/>
          <w:bCs/>
          <w:i/>
          <w:iCs/>
        </w:rPr>
        <w:t>)</w:t>
      </w:r>
      <w:r w:rsidRPr="00AE7798">
        <w:rPr>
          <w:rFonts w:ascii="Arial" w:hAnsi="Arial" w:cs="Arial"/>
          <w:i/>
          <w:iCs/>
        </w:rPr>
        <w:t xml:space="preserve">. RAN3 has further discussed question 3: </w:t>
      </w:r>
    </w:p>
    <w:p w14:paraId="5F10D400" w14:textId="77777777" w:rsidR="00AE7798" w:rsidRPr="00AE7798" w:rsidRDefault="00AE7798" w:rsidP="00AE7798">
      <w:pPr>
        <w:ind w:left="1152"/>
        <w:jc w:val="both"/>
        <w:rPr>
          <w:rFonts w:ascii="Arial" w:hAnsi="Arial" w:cs="Arial"/>
          <w:i/>
          <w:iCs/>
          <w:sz w:val="18"/>
          <w:szCs w:val="18"/>
        </w:rPr>
      </w:pPr>
      <w:r w:rsidRPr="00AE7798">
        <w:rPr>
          <w:rFonts w:ascii="Arial" w:hAnsi="Arial" w:cs="Arial"/>
          <w:b/>
          <w:bCs/>
          <w:i/>
          <w:iCs/>
        </w:rPr>
        <w:t xml:space="preserve">  </w:t>
      </w:r>
      <w:r w:rsidRPr="00AE7798">
        <w:rPr>
          <w:rFonts w:ascii="Arial" w:hAnsi="Arial" w:cs="Arial"/>
          <w:i/>
          <w:iCs/>
          <w:sz w:val="18"/>
          <w:szCs w:val="18"/>
        </w:rPr>
        <w:t xml:space="preserve">- </w:t>
      </w:r>
      <w:r w:rsidRPr="00AE7798">
        <w:rPr>
          <w:rFonts w:ascii="Arial" w:hAnsi="Arial" w:cs="Arial"/>
          <w:b/>
          <w:bCs/>
          <w:i/>
          <w:iCs/>
          <w:sz w:val="18"/>
          <w:szCs w:val="18"/>
          <w:u w:val="single"/>
        </w:rPr>
        <w:t>Question 3</w:t>
      </w:r>
      <w:r w:rsidRPr="00AE7798">
        <w:rPr>
          <w:rFonts w:ascii="Arial" w:hAnsi="Arial" w:cs="Arial"/>
          <w:i/>
          <w:iCs/>
          <w:sz w:val="18"/>
          <w:szCs w:val="18"/>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E7798">
        <w:rPr>
          <w:rFonts w:ascii="Arial" w:hAnsi="Arial" w:cs="Arial"/>
          <w:i/>
          <w:iCs/>
          <w:sz w:val="18"/>
          <w:szCs w:val="18"/>
        </w:rPr>
        <w:tab/>
      </w:r>
    </w:p>
    <w:p w14:paraId="23A1E3C3" w14:textId="77777777" w:rsidR="00AE7798" w:rsidRPr="00AE7798" w:rsidRDefault="00AE7798" w:rsidP="00AE7798">
      <w:pPr>
        <w:spacing w:after="60"/>
        <w:ind w:left="720"/>
        <w:rPr>
          <w:rFonts w:ascii="Arial" w:hAnsi="Arial" w:cs="Arial"/>
          <w:i/>
          <w:iCs/>
        </w:rPr>
      </w:pPr>
      <w:r w:rsidRPr="00AE7798">
        <w:rPr>
          <w:rFonts w:ascii="Arial" w:hAnsi="Arial" w:cs="Arial"/>
          <w:i/>
          <w:iCs/>
        </w:rPr>
        <w:t xml:space="preserve">RAN3 confirmed SA2’s assumptions in the following agreement: </w:t>
      </w:r>
    </w:p>
    <w:p w14:paraId="14AB7F91" w14:textId="77777777" w:rsidR="00AE7798" w:rsidRPr="00AE7798" w:rsidRDefault="00AE7798" w:rsidP="00AE7798">
      <w:pPr>
        <w:ind w:left="1152"/>
        <w:rPr>
          <w:rFonts w:ascii="Arial" w:hAnsi="Arial" w:cs="Arial"/>
          <w:i/>
          <w:iCs/>
        </w:rPr>
      </w:pPr>
      <w:r w:rsidRPr="00AE7798">
        <w:rPr>
          <w:rFonts w:ascii="Arial" w:hAnsi="Arial" w:cs="Arial"/>
          <w:i/>
          <w:iCs/>
        </w:rPr>
        <w:t>“The ‘two logical gNB solution’ can support UE’s AMF change during WAB-gNB mobility.”</w:t>
      </w:r>
    </w:p>
    <w:p w14:paraId="12499B58" w14:textId="77777777" w:rsidR="00AE7798" w:rsidRPr="00AE7798" w:rsidRDefault="00AE7798" w:rsidP="00AE7798">
      <w:pPr>
        <w:ind w:left="720"/>
        <w:rPr>
          <w:rFonts w:ascii="Arial" w:hAnsi="Arial" w:cs="Arial"/>
          <w:i/>
          <w:iCs/>
        </w:rPr>
      </w:pPr>
      <w:r w:rsidRPr="00AE7798">
        <w:rPr>
          <w:rFonts w:ascii="Arial" w:hAnsi="Arial" w:cs="Arial"/>
          <w:i/>
          <w:iCs/>
        </w:rPr>
        <w:t>RAN3 has discussed the following solutions that allow change of the UE’s AMF with a single logical WAB-gNB.</w:t>
      </w:r>
    </w:p>
    <w:p w14:paraId="2CD94541" w14:textId="77777777" w:rsidR="00AE7798" w:rsidRPr="00AE7798" w:rsidRDefault="00AE7798" w:rsidP="00AE7798">
      <w:pPr>
        <w:ind w:left="720"/>
        <w:rPr>
          <w:rFonts w:ascii="Arial" w:hAnsi="Arial" w:cs="Arial"/>
          <w:b/>
          <w:bCs/>
          <w:i/>
          <w:iCs/>
        </w:rPr>
      </w:pPr>
      <w:r w:rsidRPr="00AE7798">
        <w:rPr>
          <w:rFonts w:ascii="Arial" w:hAnsi="Arial" w:cs="Arial"/>
          <w:b/>
          <w:bCs/>
          <w:i/>
          <w:iCs/>
        </w:rPr>
        <w:t>Solution 1: Using single WAB-gNB with single cell and changing TAC</w:t>
      </w:r>
    </w:p>
    <w:p w14:paraId="264290A1"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The WAB-gNB establishes a separate NG-C connection with the new AMF.</w:t>
      </w:r>
    </w:p>
    <w:p w14:paraId="62B324F0"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 xml:space="preserve">It reports </w:t>
      </w:r>
      <w:r w:rsidRPr="00AE7798">
        <w:rPr>
          <w:rFonts w:ascii="Arial" w:hAnsi="Arial" w:cs="Arial"/>
          <w:i/>
          <w:iCs/>
          <w:lang w:eastAsia="zh-CN"/>
        </w:rPr>
        <w:t xml:space="preserve">the initial TAC, </w:t>
      </w:r>
      <w:r w:rsidRPr="00AE7798">
        <w:rPr>
          <w:rFonts w:ascii="Arial" w:hAnsi="Arial" w:cs="Arial"/>
          <w:i/>
          <w:iCs/>
        </w:rPr>
        <w:t xml:space="preserve">TAC1, only to the initial AMF and the </w:t>
      </w:r>
      <w:r w:rsidRPr="00AE7798">
        <w:rPr>
          <w:rFonts w:ascii="Arial" w:hAnsi="Arial" w:cs="Arial" w:hint="eastAsia"/>
          <w:i/>
          <w:iCs/>
          <w:lang w:eastAsia="zh-CN"/>
        </w:rPr>
        <w:t xml:space="preserve">new </w:t>
      </w:r>
      <w:r w:rsidRPr="00AE7798">
        <w:rPr>
          <w:rFonts w:ascii="Arial" w:hAnsi="Arial" w:cs="Arial"/>
          <w:i/>
          <w:iCs/>
          <w:lang w:eastAsia="zh-CN"/>
        </w:rPr>
        <w:t xml:space="preserve">TAC, </w:t>
      </w:r>
      <w:r w:rsidRPr="00AE7798">
        <w:rPr>
          <w:rFonts w:ascii="Arial" w:hAnsi="Arial" w:cs="Arial"/>
          <w:i/>
          <w:iCs/>
        </w:rPr>
        <w:t>TAC2, only to the new AMF.</w:t>
      </w:r>
    </w:p>
    <w:p w14:paraId="0D9CEAB9"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The WAB-gNB cell updates the SI from TAC1 to TAC2.</w:t>
      </w:r>
    </w:p>
    <w:p w14:paraId="57E58563"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 xml:space="preserve">For UE in RRC CONNECTED state: </w:t>
      </w:r>
    </w:p>
    <w:p w14:paraId="1B3AFA10" w14:textId="77777777" w:rsidR="00AE7798" w:rsidRPr="00AE7798" w:rsidRDefault="00AE7798" w:rsidP="00AE7798">
      <w:pPr>
        <w:pStyle w:val="ListParagraph"/>
        <w:numPr>
          <w:ilvl w:val="1"/>
          <w:numId w:val="28"/>
        </w:numPr>
        <w:ind w:left="2160"/>
        <w:rPr>
          <w:rFonts w:ascii="Arial" w:hAnsi="Arial" w:cs="Arial"/>
          <w:i/>
          <w:iCs/>
        </w:rPr>
      </w:pPr>
      <w:r w:rsidRPr="00AE7798">
        <w:rPr>
          <w:rFonts w:ascii="Arial" w:hAnsi="Arial" w:cs="Arial"/>
          <w:i/>
          <w:iCs/>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sidRPr="00AE7798">
        <w:rPr>
          <w:rFonts w:ascii="Arial" w:hAnsi="Arial" w:cs="Arial" w:hint="eastAsia"/>
          <w:i/>
          <w:iCs/>
          <w:lang w:val="en-US" w:eastAsia="zh-CN"/>
        </w:rPr>
        <w:t xml:space="preserve"> for the purpose of UE</w:t>
      </w:r>
      <w:r w:rsidRPr="00AE7798">
        <w:rPr>
          <w:rFonts w:ascii="Arial" w:hAnsi="Arial" w:cs="Arial"/>
          <w:i/>
          <w:iCs/>
          <w:lang w:val="en-US" w:eastAsia="zh-CN"/>
        </w:rPr>
        <w:t>’</w:t>
      </w:r>
      <w:r w:rsidRPr="00AE7798">
        <w:rPr>
          <w:rFonts w:ascii="Arial" w:hAnsi="Arial" w:cs="Arial" w:hint="eastAsia"/>
          <w:i/>
          <w:iCs/>
          <w:lang w:val="en-US" w:eastAsia="zh-CN"/>
        </w:rPr>
        <w:t>s AMF change</w:t>
      </w:r>
      <w:r w:rsidRPr="00AE7798">
        <w:rPr>
          <w:rFonts w:ascii="Arial" w:hAnsi="Arial" w:cs="Arial"/>
          <w:i/>
          <w:iCs/>
        </w:rPr>
        <w:t xml:space="preserve">. </w:t>
      </w:r>
    </w:p>
    <w:p w14:paraId="4097FC26"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 xml:space="preserve">For UE in RRC IDLE/INACTIVE state: </w:t>
      </w:r>
    </w:p>
    <w:p w14:paraId="21B10A75" w14:textId="77777777" w:rsidR="00AE7798" w:rsidRPr="00AE7798" w:rsidRDefault="00AE7798" w:rsidP="00AE7798">
      <w:pPr>
        <w:pStyle w:val="ListParagraph"/>
        <w:numPr>
          <w:ilvl w:val="1"/>
          <w:numId w:val="28"/>
        </w:numPr>
        <w:ind w:left="2160"/>
        <w:rPr>
          <w:rFonts w:ascii="Arial" w:hAnsi="Arial" w:cs="Arial"/>
          <w:i/>
          <w:iCs/>
        </w:rPr>
      </w:pPr>
      <w:r w:rsidRPr="00AE7798">
        <w:rPr>
          <w:rFonts w:ascii="Arial" w:hAnsi="Arial" w:cs="Arial"/>
          <w:i/>
          <w:iCs/>
        </w:rPr>
        <w:t>When receiving the SI update, the UE performs an MRU, which is forwarded by the WAB-gNB to the new AMF. The new AMF retrieves the UE’s context from the initial AMF.</w:t>
      </w:r>
    </w:p>
    <w:p w14:paraId="1FEAFD60" w14:textId="77777777" w:rsidR="00AE7798" w:rsidRPr="00AE7798" w:rsidRDefault="00AE7798" w:rsidP="00AE7798">
      <w:pPr>
        <w:ind w:left="720"/>
        <w:rPr>
          <w:rFonts w:ascii="Arial" w:hAnsi="Arial" w:cs="Arial"/>
          <w:b/>
          <w:bCs/>
          <w:i/>
          <w:iCs/>
        </w:rPr>
      </w:pPr>
      <w:r w:rsidRPr="00AE7798">
        <w:rPr>
          <w:rFonts w:ascii="Arial" w:hAnsi="Arial" w:cs="Arial"/>
          <w:b/>
          <w:bCs/>
          <w:i/>
          <w:iCs/>
        </w:rPr>
        <w:lastRenderedPageBreak/>
        <w:t>Solution 2: Using single WAB-gNB with two cells and different TACs</w:t>
      </w:r>
    </w:p>
    <w:p w14:paraId="150721AC"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The WAB-gNB establishes a separate NG-C connection with the new AMF.</w:t>
      </w:r>
    </w:p>
    <w:p w14:paraId="4DA37623"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 xml:space="preserve">It instantiates a second cell whose SI includes only TAC2, while the first cell’s SI only includes TAC1. </w:t>
      </w:r>
    </w:p>
    <w:p w14:paraId="12F7EE77"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It reports TAC1 only to the initial AMF and TAC2 only to the new AMF.</w:t>
      </w:r>
    </w:p>
    <w:p w14:paraId="4C840539"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 xml:space="preserve">For UE in RRC CONNECTED state: </w:t>
      </w:r>
    </w:p>
    <w:p w14:paraId="7FC94C2C" w14:textId="77777777" w:rsidR="00AE7798" w:rsidRPr="00AE7798" w:rsidRDefault="00AE7798" w:rsidP="00AE7798">
      <w:pPr>
        <w:pStyle w:val="ListParagraph"/>
        <w:numPr>
          <w:ilvl w:val="1"/>
          <w:numId w:val="28"/>
        </w:numPr>
        <w:ind w:left="2160"/>
        <w:rPr>
          <w:rFonts w:ascii="Arial" w:hAnsi="Arial" w:cs="Arial"/>
          <w:i/>
          <w:iCs/>
        </w:rPr>
      </w:pPr>
      <w:r w:rsidRPr="00AE7798">
        <w:rPr>
          <w:rFonts w:ascii="Arial" w:hAnsi="Arial" w:cs="Arial"/>
          <w:i/>
          <w:iCs/>
        </w:rPr>
        <w:t>The WAB-gNB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AE7798">
        <w:rPr>
          <w:rFonts w:ascii="Arial" w:hAnsi="Arial" w:cs="Arial" w:hint="eastAsia"/>
          <w:i/>
          <w:iCs/>
          <w:lang w:val="en-US" w:eastAsia="zh-CN"/>
        </w:rPr>
        <w:t>s</w:t>
      </w:r>
      <w:r w:rsidRPr="00AE7798">
        <w:rPr>
          <w:rFonts w:ascii="Arial" w:hAnsi="Arial" w:cs="Arial"/>
          <w:i/>
          <w:iCs/>
        </w:rPr>
        <w:t xml:space="preserve"> the HO signalling to the new AMF. After all UEs have been handed over, the WAB-gNB discontinues operation of the first cell.  </w:t>
      </w:r>
    </w:p>
    <w:p w14:paraId="687C2679" w14:textId="77777777" w:rsidR="00AE7798" w:rsidRPr="00AE7798" w:rsidRDefault="00AE7798" w:rsidP="00AE7798">
      <w:pPr>
        <w:pStyle w:val="ListParagraph"/>
        <w:numPr>
          <w:ilvl w:val="0"/>
          <w:numId w:val="28"/>
        </w:numPr>
        <w:ind w:left="1440"/>
        <w:rPr>
          <w:rFonts w:ascii="Arial" w:hAnsi="Arial" w:cs="Arial"/>
          <w:i/>
          <w:iCs/>
        </w:rPr>
      </w:pPr>
      <w:r w:rsidRPr="00AE7798">
        <w:rPr>
          <w:rFonts w:ascii="Arial" w:hAnsi="Arial" w:cs="Arial"/>
          <w:i/>
          <w:iCs/>
        </w:rPr>
        <w:t xml:space="preserve">For UE in RRC IDLE/INACTIVE state: </w:t>
      </w:r>
    </w:p>
    <w:p w14:paraId="7DDCDEC6" w14:textId="77777777" w:rsidR="00AE7798" w:rsidRPr="00AE7798" w:rsidRDefault="00AE7798" w:rsidP="00AE7798">
      <w:pPr>
        <w:pStyle w:val="ListParagraph"/>
        <w:numPr>
          <w:ilvl w:val="1"/>
          <w:numId w:val="28"/>
        </w:numPr>
        <w:ind w:left="2160"/>
        <w:rPr>
          <w:rFonts w:ascii="Arial" w:hAnsi="Arial" w:cs="Arial"/>
          <w:i/>
          <w:iCs/>
        </w:rPr>
      </w:pPr>
      <w:r w:rsidRPr="00AE7798">
        <w:rPr>
          <w:rFonts w:ascii="Arial" w:hAnsi="Arial" w:cs="Arial"/>
          <w:i/>
          <w:iCs/>
        </w:rPr>
        <w:t>When operation of the first cell is discontinued, the UE reselects the second cell and performs an MRU, which is forwarded by the WAB-gNB to the new AMF. The new AMF retrieves the UE’s context from the initial AMF.</w:t>
      </w:r>
    </w:p>
    <w:p w14:paraId="1D5B4493" w14:textId="77777777" w:rsidR="00AE7798" w:rsidRPr="00AE7798" w:rsidRDefault="00AE7798" w:rsidP="00AE7798">
      <w:pPr>
        <w:pStyle w:val="Header"/>
        <w:ind w:left="720"/>
        <w:rPr>
          <w:rFonts w:cs="Arial"/>
          <w:i/>
          <w:iCs/>
        </w:rPr>
      </w:pPr>
    </w:p>
    <w:p w14:paraId="51626B95" w14:textId="77777777" w:rsidR="00AE7798" w:rsidRPr="00AE7798" w:rsidRDefault="00AE7798" w:rsidP="00AE7798">
      <w:pPr>
        <w:spacing w:after="120"/>
        <w:ind w:left="720"/>
        <w:rPr>
          <w:rFonts w:ascii="Arial" w:hAnsi="Arial" w:cs="Arial"/>
          <w:b/>
          <w:i/>
          <w:iCs/>
        </w:rPr>
      </w:pPr>
      <w:r w:rsidRPr="00AE7798">
        <w:rPr>
          <w:rFonts w:ascii="Arial" w:hAnsi="Arial" w:cs="Arial"/>
          <w:b/>
          <w:i/>
          <w:iCs/>
        </w:rPr>
        <w:t>2. Actions:</w:t>
      </w:r>
    </w:p>
    <w:p w14:paraId="47C6051A" w14:textId="77777777" w:rsidR="00AE7798" w:rsidRPr="00AE7798" w:rsidRDefault="00AE7798" w:rsidP="00AE7798">
      <w:pPr>
        <w:spacing w:after="120"/>
        <w:ind w:left="2705" w:hanging="1985"/>
        <w:rPr>
          <w:rFonts w:ascii="Arial" w:hAnsi="Arial" w:cs="Arial"/>
          <w:b/>
          <w:i/>
          <w:iCs/>
        </w:rPr>
      </w:pPr>
      <w:r w:rsidRPr="00AE7798">
        <w:rPr>
          <w:rFonts w:ascii="Arial" w:hAnsi="Arial" w:cs="Arial"/>
          <w:b/>
          <w:i/>
          <w:iCs/>
        </w:rPr>
        <w:t xml:space="preserve">To </w:t>
      </w:r>
      <w:r w:rsidRPr="00AE7798">
        <w:rPr>
          <w:rFonts w:ascii="Arial" w:hAnsi="Arial" w:cs="Arial" w:hint="eastAsia"/>
          <w:b/>
          <w:i/>
          <w:iCs/>
          <w:lang w:val="en-US" w:eastAsia="zh-CN"/>
        </w:rPr>
        <w:t>SA</w:t>
      </w:r>
      <w:r w:rsidRPr="00AE7798">
        <w:rPr>
          <w:rFonts w:ascii="Arial" w:hAnsi="Arial" w:cs="Arial"/>
          <w:b/>
          <w:i/>
          <w:iCs/>
        </w:rPr>
        <w:t>2 group.</w:t>
      </w:r>
    </w:p>
    <w:p w14:paraId="12BE8559" w14:textId="77777777" w:rsidR="00AE7798" w:rsidRPr="00AE7798" w:rsidRDefault="00AE7798" w:rsidP="00AE7798">
      <w:pPr>
        <w:spacing w:after="120"/>
        <w:ind w:left="1713" w:hanging="993"/>
        <w:rPr>
          <w:rFonts w:ascii="Arial" w:hAnsi="Arial" w:cs="Arial"/>
          <w:i/>
          <w:iCs/>
        </w:rPr>
      </w:pPr>
      <w:r w:rsidRPr="00AE7798">
        <w:rPr>
          <w:rFonts w:ascii="Arial" w:hAnsi="Arial" w:cs="Arial"/>
          <w:b/>
          <w:i/>
          <w:iCs/>
        </w:rPr>
        <w:t xml:space="preserve">ACTION: </w:t>
      </w:r>
      <w:r w:rsidRPr="00AE7798">
        <w:rPr>
          <w:rFonts w:ascii="Arial" w:hAnsi="Arial" w:cs="Arial"/>
          <w:b/>
          <w:i/>
          <w:iCs/>
        </w:rPr>
        <w:tab/>
      </w:r>
      <w:r w:rsidRPr="00AE7798">
        <w:rPr>
          <w:rFonts w:ascii="Arial" w:hAnsi="Arial" w:cs="Arial"/>
          <w:bCs/>
          <w:i/>
          <w:iCs/>
        </w:rPr>
        <w:t xml:space="preserve">RAN3 would like to ask SA2 to provide feedback on whether either of these single-gNB solutions can be achieved without CN impact. </w:t>
      </w:r>
    </w:p>
    <w:p w14:paraId="1BC89BB9" w14:textId="77777777" w:rsidR="005A766F" w:rsidRPr="005A766F" w:rsidRDefault="005A766F" w:rsidP="008441A6">
      <w:pPr>
        <w:pStyle w:val="Header"/>
        <w:rPr>
          <w:rFonts w:ascii="Arial" w:hAnsi="Arial"/>
        </w:rPr>
      </w:pPr>
    </w:p>
    <w:p w14:paraId="7F557FF4" w14:textId="77B03B6C"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solution#1 </w:t>
      </w:r>
      <w:r w:rsidR="00A1650E">
        <w:rPr>
          <w:rFonts w:ascii="Arial" w:hAnsi="Arial"/>
        </w:rPr>
        <w:t>with</w:t>
      </w:r>
      <w:r w:rsidR="00AE7798">
        <w:rPr>
          <w:rFonts w:ascii="Arial" w:hAnsi="Arial"/>
        </w:rPr>
        <w:t xml:space="preserve"> single WAB-gNB</w:t>
      </w:r>
      <w:r w:rsidR="008E1F76">
        <w:rPr>
          <w:rFonts w:ascii="Arial" w:hAnsi="Arial"/>
        </w:rPr>
        <w:t xml:space="preserve"> and consider it has CN impact and new procedures/handling needs to be introduced</w:t>
      </w:r>
      <w:r w:rsidR="00C567AA">
        <w:rPr>
          <w:rFonts w:ascii="Arial" w:hAnsi="Arial"/>
        </w:rPr>
        <w:t xml:space="preserve"> to support such</w:t>
      </w:r>
      <w:r w:rsidR="008E1F76">
        <w:rPr>
          <w:rFonts w:ascii="Arial" w:hAnsi="Arial"/>
        </w:rPr>
        <w:t xml:space="preserve">. Thus </w:t>
      </w:r>
      <w:r w:rsidR="00662900">
        <w:rPr>
          <w:rFonts w:ascii="Arial" w:hAnsi="Arial"/>
        </w:rPr>
        <w:t>solution#1</w:t>
      </w:r>
      <w:r w:rsidR="008E1F76">
        <w:rPr>
          <w:rFonts w:ascii="Arial" w:hAnsi="Arial"/>
        </w:rPr>
        <w:t xml:space="preserve"> </w:t>
      </w:r>
      <w:r w:rsidR="0045355E">
        <w:rPr>
          <w:rFonts w:ascii="Arial" w:hAnsi="Arial"/>
        </w:rPr>
        <w:t xml:space="preserve">is </w:t>
      </w:r>
      <w:r w:rsidR="008E1F76">
        <w:rPr>
          <w:rFonts w:ascii="Arial" w:hAnsi="Arial"/>
        </w:rPr>
        <w:t xml:space="preserve">not recommended. </w:t>
      </w:r>
    </w:p>
    <w:p w14:paraId="04691B4F" w14:textId="77777777" w:rsidR="008E1F76" w:rsidRDefault="008E1F76" w:rsidP="008441A6">
      <w:pPr>
        <w:pStyle w:val="Header"/>
        <w:rPr>
          <w:rFonts w:ascii="Arial" w:hAnsi="Arial"/>
        </w:rPr>
      </w:pPr>
    </w:p>
    <w:p w14:paraId="2FB0057D" w14:textId="57F63D4E" w:rsidR="004A2287" w:rsidRDefault="00143D29" w:rsidP="008441A6">
      <w:pPr>
        <w:pStyle w:val="Header"/>
        <w:rPr>
          <w:rFonts w:ascii="Arial" w:hAnsi="Arial"/>
        </w:rPr>
      </w:pPr>
      <w:r>
        <w:rPr>
          <w:rFonts w:ascii="Arial" w:hAnsi="Arial"/>
        </w:rPr>
        <w:t>SA2 considers that t</w:t>
      </w:r>
      <w:r w:rsidR="008E1F76">
        <w:rPr>
          <w:rFonts w:ascii="Arial" w:hAnsi="Arial"/>
        </w:rPr>
        <w:t>he solution#2</w:t>
      </w:r>
      <w:r w:rsidR="005C762C">
        <w:rPr>
          <w:rFonts w:ascii="Arial" w:hAnsi="Arial"/>
        </w:rPr>
        <w:t xml:space="preserve"> can address the</w:t>
      </w:r>
      <w:r w:rsidR="005E7C7B">
        <w:rPr>
          <w:rFonts w:ascii="Arial" w:hAnsi="Arial"/>
        </w:rPr>
        <w:t xml:space="preserve"> UE mobility handling</w:t>
      </w:r>
      <w:r w:rsidR="004A2287">
        <w:rPr>
          <w:rFonts w:ascii="Arial" w:hAnsi="Arial"/>
        </w:rPr>
        <w:t xml:space="preserve"> </w:t>
      </w:r>
      <w:r w:rsidR="008E1F76">
        <w:rPr>
          <w:rFonts w:ascii="Arial" w:hAnsi="Arial"/>
        </w:rPr>
        <w:t xml:space="preserve">as long as there </w:t>
      </w:r>
      <w:r w:rsidR="004A2287">
        <w:rPr>
          <w:rFonts w:ascii="Arial" w:hAnsi="Arial"/>
        </w:rPr>
        <w:t>are</w:t>
      </w:r>
      <w:r w:rsidR="008E1F76">
        <w:rPr>
          <w:rFonts w:ascii="Arial" w:hAnsi="Arial"/>
        </w:rPr>
        <w:t xml:space="preserve"> two cells/TACs during the MWAB node mobility</w:t>
      </w:r>
      <w:r w:rsidR="00C1615F">
        <w:rPr>
          <w:rFonts w:ascii="Arial" w:hAnsi="Arial"/>
        </w:rPr>
        <w:t xml:space="preserve"> with AMF change</w:t>
      </w:r>
      <w:r w:rsidR="009C7942">
        <w:rPr>
          <w:rFonts w:ascii="Arial" w:hAnsi="Arial"/>
        </w:rPr>
        <w:t>.</w:t>
      </w:r>
      <w:r w:rsidR="004F73DE">
        <w:rPr>
          <w:rFonts w:ascii="Arial" w:hAnsi="Arial"/>
        </w:rPr>
        <w:t xml:space="preserve"> </w:t>
      </w:r>
      <w:r w:rsidR="009C7942">
        <w:rPr>
          <w:rFonts w:ascii="Arial" w:hAnsi="Arial"/>
        </w:rPr>
        <w:t>T</w:t>
      </w:r>
      <w:r w:rsidR="004F73DE">
        <w:rPr>
          <w:rFonts w:ascii="Arial" w:hAnsi="Arial"/>
        </w:rPr>
        <w:t>he e</w:t>
      </w:r>
      <w:r w:rsidR="00306596">
        <w:rPr>
          <w:rFonts w:ascii="Arial" w:hAnsi="Arial"/>
        </w:rPr>
        <w:t>xisting UE mobility procedures</w:t>
      </w:r>
      <w:r w:rsidR="004A2287">
        <w:rPr>
          <w:rFonts w:ascii="Arial" w:hAnsi="Arial"/>
        </w:rPr>
        <w:t xml:space="preserve"> (e.g. NGAP procedure or NAS procedure)</w:t>
      </w:r>
      <w:r w:rsidR="006B12BB">
        <w:rPr>
          <w:rFonts w:ascii="Arial" w:hAnsi="Arial"/>
        </w:rPr>
        <w:t xml:space="preserve"> </w:t>
      </w:r>
      <w:r w:rsidR="00306596">
        <w:rPr>
          <w:rFonts w:ascii="Arial" w:hAnsi="Arial"/>
        </w:rPr>
        <w:t xml:space="preserve">can be </w:t>
      </w:r>
      <w:r w:rsidR="00C1615F">
        <w:rPr>
          <w:rFonts w:ascii="Arial" w:hAnsi="Arial"/>
        </w:rPr>
        <w:t>re-</w:t>
      </w:r>
      <w:r w:rsidR="00306596">
        <w:rPr>
          <w:rFonts w:ascii="Arial" w:hAnsi="Arial"/>
        </w:rPr>
        <w:t>used</w:t>
      </w:r>
      <w:r w:rsidR="004A2287">
        <w:rPr>
          <w:rFonts w:ascii="Arial" w:hAnsi="Arial"/>
        </w:rPr>
        <w:t xml:space="preserve"> to handle the UEs connected via MWAB node</w:t>
      </w:r>
      <w:r w:rsidR="00306596">
        <w:rPr>
          <w:rFonts w:ascii="Arial" w:hAnsi="Arial"/>
        </w:rPr>
        <w:t xml:space="preserve">. </w:t>
      </w:r>
      <w:r w:rsidR="009811D5">
        <w:rPr>
          <w:rFonts w:ascii="Arial" w:hAnsi="Arial"/>
        </w:rPr>
        <w:t xml:space="preserve">However, </w:t>
      </w:r>
      <w:r w:rsidR="00E04039">
        <w:rPr>
          <w:rFonts w:ascii="Arial" w:hAnsi="Arial"/>
        </w:rPr>
        <w:t>SA2 considers</w:t>
      </w:r>
      <w:r w:rsidR="0050113C">
        <w:rPr>
          <w:rFonts w:ascii="Arial" w:hAnsi="Arial"/>
        </w:rPr>
        <w:t xml:space="preserve"> that </w:t>
      </w:r>
      <w:r w:rsidR="00AA6F5D">
        <w:rPr>
          <w:rFonts w:ascii="Arial" w:hAnsi="Arial"/>
        </w:rPr>
        <w:t xml:space="preserve">single gNB connects to multiple AMF sets </w:t>
      </w:r>
      <w:r w:rsidR="00E0301F">
        <w:rPr>
          <w:rFonts w:ascii="Arial" w:hAnsi="Arial"/>
        </w:rPr>
        <w:t xml:space="preserve">and reporting different TACs to different AMF sets are rather abnormal setup with </w:t>
      </w:r>
      <w:r w:rsidR="00E239A5">
        <w:rPr>
          <w:rFonts w:ascii="Arial" w:hAnsi="Arial"/>
        </w:rPr>
        <w:t xml:space="preserve">additional </w:t>
      </w:r>
      <w:r w:rsidR="004E326B">
        <w:rPr>
          <w:rFonts w:ascii="Arial" w:hAnsi="Arial"/>
        </w:rPr>
        <w:t>logics in gNB</w:t>
      </w:r>
      <w:r w:rsidR="008F5DFF">
        <w:rPr>
          <w:rFonts w:ascii="Arial" w:hAnsi="Arial"/>
        </w:rPr>
        <w:t>.</w:t>
      </w:r>
      <w:r w:rsidR="004E326B">
        <w:rPr>
          <w:rFonts w:ascii="Arial" w:hAnsi="Arial"/>
        </w:rPr>
        <w:t xml:space="preserve"> There is probably also </w:t>
      </w:r>
      <w:r w:rsidR="00E0301F">
        <w:rPr>
          <w:rFonts w:ascii="Arial" w:hAnsi="Arial"/>
        </w:rPr>
        <w:t>potential issues</w:t>
      </w:r>
      <w:r w:rsidR="00113436">
        <w:rPr>
          <w:rFonts w:ascii="Arial" w:hAnsi="Arial"/>
        </w:rPr>
        <w:t xml:space="preserve"> </w:t>
      </w:r>
      <w:r w:rsidR="004D1A2C">
        <w:rPr>
          <w:rFonts w:ascii="Arial" w:hAnsi="Arial"/>
        </w:rPr>
        <w:t xml:space="preserve">for </w:t>
      </w:r>
      <w:r w:rsidR="008F5DFF">
        <w:rPr>
          <w:rFonts w:ascii="Arial" w:hAnsi="Arial"/>
        </w:rPr>
        <w:t>signalling</w:t>
      </w:r>
      <w:r w:rsidR="004D1A2C">
        <w:rPr>
          <w:rFonts w:ascii="Arial" w:hAnsi="Arial"/>
        </w:rPr>
        <w:t xml:space="preserve"> target gNB and extra handling in CN may </w:t>
      </w:r>
      <w:r w:rsidR="008F5DFF">
        <w:rPr>
          <w:rFonts w:ascii="Arial" w:hAnsi="Arial"/>
        </w:rPr>
        <w:t xml:space="preserve">be </w:t>
      </w:r>
      <w:r w:rsidR="004D1A2C">
        <w:rPr>
          <w:rFonts w:ascii="Arial" w:hAnsi="Arial"/>
        </w:rPr>
        <w:t>needed</w:t>
      </w:r>
      <w:r w:rsidR="005319B0">
        <w:rPr>
          <w:rFonts w:ascii="Arial" w:hAnsi="Arial"/>
        </w:rPr>
        <w:t>.</w:t>
      </w:r>
    </w:p>
    <w:p w14:paraId="65611A49" w14:textId="77777777" w:rsidR="006D405A" w:rsidRDefault="006D405A" w:rsidP="008441A6">
      <w:pPr>
        <w:pStyle w:val="Header"/>
        <w:rPr>
          <w:rFonts w:ascii="Arial" w:hAnsi="Arial"/>
        </w:rPr>
      </w:pPr>
    </w:p>
    <w:p w14:paraId="3790911F" w14:textId="64F8E419" w:rsidR="001C11AD" w:rsidRDefault="005319B0" w:rsidP="008441A6">
      <w:pPr>
        <w:pStyle w:val="Header"/>
        <w:rPr>
          <w:rFonts w:ascii="Arial" w:hAnsi="Arial"/>
        </w:rPr>
      </w:pPr>
      <w:r>
        <w:rPr>
          <w:rFonts w:ascii="Arial" w:hAnsi="Arial"/>
        </w:rPr>
        <w:t xml:space="preserve">Based on above, </w:t>
      </w:r>
      <w:r w:rsidR="001C11AD">
        <w:rPr>
          <w:rFonts w:ascii="Arial" w:hAnsi="Arial"/>
        </w:rPr>
        <w:t xml:space="preserve">SA2 </w:t>
      </w:r>
      <w:r>
        <w:rPr>
          <w:rFonts w:ascii="Arial" w:hAnsi="Arial"/>
        </w:rPr>
        <w:t xml:space="preserve">considers </w:t>
      </w:r>
      <w:r w:rsidR="000363C0">
        <w:rPr>
          <w:rFonts w:ascii="Arial" w:hAnsi="Arial"/>
        </w:rPr>
        <w:t>no reason to pursu</w:t>
      </w:r>
      <w:r w:rsidR="00A2179C">
        <w:rPr>
          <w:rFonts w:ascii="Arial" w:hAnsi="Arial"/>
        </w:rPr>
        <w:t>e</w:t>
      </w:r>
      <w:r w:rsidR="000363C0">
        <w:rPr>
          <w:rFonts w:ascii="Arial" w:hAnsi="Arial"/>
        </w:rPr>
        <w:t xml:space="preserve"> the single logic gNB solutions</w:t>
      </w:r>
      <w:r w:rsidR="009661AF">
        <w:rPr>
          <w:rFonts w:ascii="Arial" w:hAnsi="Arial"/>
        </w:rPr>
        <w:t xml:space="preserve"> </w:t>
      </w:r>
      <w:r w:rsidR="00FD0FD0">
        <w:rPr>
          <w:rFonts w:ascii="Arial" w:hAnsi="Arial"/>
        </w:rPr>
        <w:t xml:space="preserve">and </w:t>
      </w:r>
      <w:r w:rsidR="001C11AD">
        <w:rPr>
          <w:rFonts w:ascii="Arial" w:hAnsi="Arial"/>
        </w:rPr>
        <w:t>has agreed the attached CR</w:t>
      </w:r>
      <w:r w:rsidR="008A4DBF">
        <w:rPr>
          <w:rFonts w:ascii="Arial" w:hAnsi="Arial"/>
        </w:rPr>
        <w:t xml:space="preserve"> indicating the re-us</w:t>
      </w:r>
      <w:r w:rsidR="0018431A">
        <w:rPr>
          <w:rFonts w:ascii="Arial" w:hAnsi="Arial"/>
        </w:rPr>
        <w:t>e</w:t>
      </w:r>
      <w:r w:rsidR="008A4DBF">
        <w:rPr>
          <w:rFonts w:ascii="Arial" w:hAnsi="Arial"/>
        </w:rPr>
        <w:t xml:space="preserve"> of existing mobility procedures</w:t>
      </w:r>
      <w:r w:rsidR="00A67206">
        <w:rPr>
          <w:rFonts w:ascii="Arial" w:hAnsi="Arial"/>
        </w:rPr>
        <w:t xml:space="preserve"> for UE mobility</w:t>
      </w:r>
      <w:r w:rsidR="00292043">
        <w:rPr>
          <w:rFonts w:ascii="Arial" w:hAnsi="Arial"/>
        </w:rPr>
        <w:t xml:space="preserve"> when it is connected via MWAB node</w:t>
      </w:r>
      <w:r w:rsidR="001C11AD">
        <w:rPr>
          <w:rFonts w:ascii="Arial" w:hAnsi="Arial"/>
        </w:rPr>
        <w:t>.</w:t>
      </w: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2BB32EC7"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45355E" w:rsidRDefault="00456A2E" w:rsidP="00456A2E">
      <w:pPr>
        <w:rPr>
          <w:rFonts w:ascii="Arial" w:hAnsi="Arial" w:cs="Arial"/>
          <w:sz w:val="22"/>
          <w:szCs w:val="22"/>
          <w:lang w:val="sv-SE"/>
        </w:rPr>
      </w:pPr>
      <w:r w:rsidRPr="0045355E">
        <w:rPr>
          <w:rFonts w:ascii="Arial" w:hAnsi="Arial" w:cs="Arial"/>
          <w:sz w:val="22"/>
          <w:szCs w:val="22"/>
          <w:lang w:val="sv-SE"/>
        </w:rPr>
        <w:t xml:space="preserve">SA2#167   </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t>17 – 21 February, 2025</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t xml:space="preserve">        Athens, GR</w:t>
      </w:r>
    </w:p>
    <w:p w14:paraId="0BDD3C44" w14:textId="7692E5B0" w:rsidR="00EF07FB" w:rsidRPr="0045355E" w:rsidRDefault="00EF07FB" w:rsidP="00EF07FB">
      <w:pPr>
        <w:rPr>
          <w:rFonts w:ascii="Arial" w:hAnsi="Arial" w:cs="Arial"/>
          <w:sz w:val="22"/>
          <w:szCs w:val="22"/>
          <w:lang w:val="sv-SE"/>
        </w:rPr>
      </w:pPr>
      <w:r w:rsidRPr="0045355E">
        <w:rPr>
          <w:rFonts w:ascii="Arial" w:hAnsi="Arial" w:cs="Arial"/>
          <w:sz w:val="22"/>
          <w:szCs w:val="22"/>
          <w:lang w:val="sv-SE"/>
        </w:rPr>
        <w:t xml:space="preserve">SA2#168   </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00951EA2" w:rsidRPr="0045355E">
        <w:rPr>
          <w:rFonts w:ascii="Arial" w:hAnsi="Arial" w:cs="Arial"/>
          <w:sz w:val="22"/>
          <w:szCs w:val="22"/>
          <w:lang w:val="sv-SE"/>
        </w:rPr>
        <w:t xml:space="preserve"> 0</w:t>
      </w:r>
      <w:r w:rsidRPr="0045355E">
        <w:rPr>
          <w:rFonts w:ascii="Arial" w:hAnsi="Arial" w:cs="Arial"/>
          <w:sz w:val="22"/>
          <w:szCs w:val="22"/>
          <w:lang w:val="sv-SE"/>
        </w:rPr>
        <w:t xml:space="preserve">7 – </w:t>
      </w:r>
      <w:r w:rsidR="00951EA2" w:rsidRPr="0045355E">
        <w:rPr>
          <w:rFonts w:ascii="Arial" w:hAnsi="Arial" w:cs="Arial"/>
          <w:sz w:val="22"/>
          <w:szCs w:val="22"/>
          <w:lang w:val="sv-SE"/>
        </w:rPr>
        <w:t>1</w:t>
      </w:r>
      <w:r w:rsidRPr="0045355E">
        <w:rPr>
          <w:rFonts w:ascii="Arial" w:hAnsi="Arial" w:cs="Arial"/>
          <w:sz w:val="22"/>
          <w:szCs w:val="22"/>
          <w:lang w:val="sv-SE"/>
        </w:rPr>
        <w:t xml:space="preserve">1 </w:t>
      </w:r>
      <w:r w:rsidR="00951EA2" w:rsidRPr="0045355E">
        <w:rPr>
          <w:rFonts w:ascii="Arial" w:hAnsi="Arial" w:cs="Arial"/>
          <w:sz w:val="22"/>
          <w:szCs w:val="22"/>
          <w:lang w:val="sv-SE"/>
        </w:rPr>
        <w:t>April</w:t>
      </w:r>
      <w:r w:rsidRPr="0045355E">
        <w:rPr>
          <w:rFonts w:ascii="Arial" w:hAnsi="Arial" w:cs="Arial"/>
          <w:sz w:val="22"/>
          <w:szCs w:val="22"/>
          <w:lang w:val="sv-SE"/>
        </w:rPr>
        <w:t>, 2025</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t xml:space="preserve">        </w:t>
      </w:r>
      <w:r w:rsidR="00951EA2" w:rsidRPr="0045355E">
        <w:rPr>
          <w:rFonts w:ascii="Arial" w:hAnsi="Arial" w:cs="Arial"/>
          <w:sz w:val="22"/>
          <w:szCs w:val="22"/>
          <w:lang w:val="sv-SE"/>
        </w:rPr>
        <w:tab/>
        <w:t xml:space="preserve">     Goteborg</w:t>
      </w:r>
      <w:r w:rsidRPr="0045355E">
        <w:rPr>
          <w:rFonts w:ascii="Arial" w:hAnsi="Arial" w:cs="Arial"/>
          <w:sz w:val="22"/>
          <w:szCs w:val="22"/>
          <w:lang w:val="sv-SE"/>
        </w:rPr>
        <w:t xml:space="preserve">, </w:t>
      </w:r>
      <w:r w:rsidR="00951EA2" w:rsidRPr="0045355E">
        <w:rPr>
          <w:rFonts w:ascii="Arial" w:hAnsi="Arial" w:cs="Arial"/>
          <w:sz w:val="22"/>
          <w:szCs w:val="22"/>
          <w:lang w:val="sv-SE"/>
        </w:rPr>
        <w:t>SE</w:t>
      </w:r>
    </w:p>
    <w:p w14:paraId="366E640F" w14:textId="77777777" w:rsidR="00AB3FE9" w:rsidRPr="0045355E" w:rsidRDefault="00AB3FE9" w:rsidP="00FB6D4F">
      <w:pPr>
        <w:rPr>
          <w:rFonts w:ascii="Arial" w:hAnsi="Arial" w:cs="Arial"/>
          <w:sz w:val="22"/>
          <w:szCs w:val="22"/>
          <w:lang w:val="sv-SE"/>
        </w:rPr>
      </w:pPr>
    </w:p>
    <w:p w14:paraId="3209A3CE" w14:textId="77777777" w:rsidR="00FB6D4F" w:rsidRPr="0045355E" w:rsidRDefault="00FB6D4F" w:rsidP="009014E0">
      <w:pPr>
        <w:rPr>
          <w:rFonts w:ascii="Arial" w:hAnsi="Arial" w:cs="Arial"/>
          <w:sz w:val="22"/>
          <w:szCs w:val="22"/>
          <w:lang w:val="sv-SE"/>
        </w:rPr>
      </w:pPr>
    </w:p>
    <w:p w14:paraId="6DA90322" w14:textId="7BFA913D" w:rsidR="00A11F42" w:rsidRPr="0045355E" w:rsidRDefault="00A11F42" w:rsidP="000B11CC">
      <w:pPr>
        <w:tabs>
          <w:tab w:val="left" w:pos="5103"/>
        </w:tabs>
        <w:spacing w:after="120"/>
        <w:rPr>
          <w:rFonts w:ascii="Arial" w:hAnsi="Arial" w:cs="Arial"/>
          <w:bCs/>
          <w:lang w:val="sv-SE"/>
        </w:rPr>
      </w:pPr>
    </w:p>
    <w:sectPr w:rsidR="00A11F42" w:rsidRPr="0045355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E3449" w14:textId="77777777" w:rsidR="00EB6B69" w:rsidRDefault="00EB6B69">
      <w:r>
        <w:separator/>
      </w:r>
    </w:p>
  </w:endnote>
  <w:endnote w:type="continuationSeparator" w:id="0">
    <w:p w14:paraId="40219B4B" w14:textId="77777777" w:rsidR="00EB6B69" w:rsidRDefault="00EB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BCC83" w14:textId="77777777" w:rsidR="00EB6B69" w:rsidRDefault="00EB6B69">
      <w:r>
        <w:separator/>
      </w:r>
    </w:p>
  </w:footnote>
  <w:footnote w:type="continuationSeparator" w:id="0">
    <w:p w14:paraId="377B735A" w14:textId="77777777" w:rsidR="00EB6B69" w:rsidRDefault="00EB6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5B49"/>
    <w:rsid w:val="00016151"/>
    <w:rsid w:val="00017BAC"/>
    <w:rsid w:val="00021059"/>
    <w:rsid w:val="000216C4"/>
    <w:rsid w:val="0002240A"/>
    <w:rsid w:val="0002310C"/>
    <w:rsid w:val="000246AA"/>
    <w:rsid w:val="00024E26"/>
    <w:rsid w:val="00026D20"/>
    <w:rsid w:val="00033664"/>
    <w:rsid w:val="000363C0"/>
    <w:rsid w:val="000369E3"/>
    <w:rsid w:val="00037545"/>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677B"/>
    <w:rsid w:val="000D6DE4"/>
    <w:rsid w:val="000E2CC3"/>
    <w:rsid w:val="000E3FB7"/>
    <w:rsid w:val="000E6FC4"/>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3436"/>
    <w:rsid w:val="00114DDA"/>
    <w:rsid w:val="001216D6"/>
    <w:rsid w:val="001304F6"/>
    <w:rsid w:val="001307B1"/>
    <w:rsid w:val="00133648"/>
    <w:rsid w:val="00140A36"/>
    <w:rsid w:val="00142769"/>
    <w:rsid w:val="00143665"/>
    <w:rsid w:val="00143D29"/>
    <w:rsid w:val="0014760B"/>
    <w:rsid w:val="00152640"/>
    <w:rsid w:val="00160DB4"/>
    <w:rsid w:val="0016447F"/>
    <w:rsid w:val="00170509"/>
    <w:rsid w:val="001711FF"/>
    <w:rsid w:val="0017319B"/>
    <w:rsid w:val="0017393B"/>
    <w:rsid w:val="00174D57"/>
    <w:rsid w:val="001750D9"/>
    <w:rsid w:val="00181AFD"/>
    <w:rsid w:val="00183CCC"/>
    <w:rsid w:val="0018431A"/>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0D46"/>
    <w:rsid w:val="001F56E4"/>
    <w:rsid w:val="00203C33"/>
    <w:rsid w:val="00204393"/>
    <w:rsid w:val="00205486"/>
    <w:rsid w:val="002074A1"/>
    <w:rsid w:val="002118B9"/>
    <w:rsid w:val="00212CB0"/>
    <w:rsid w:val="00215ADE"/>
    <w:rsid w:val="002329A2"/>
    <w:rsid w:val="002349F5"/>
    <w:rsid w:val="00237C6D"/>
    <w:rsid w:val="0024099F"/>
    <w:rsid w:val="00240E71"/>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5F69"/>
    <w:rsid w:val="00286603"/>
    <w:rsid w:val="002872DA"/>
    <w:rsid w:val="00287E00"/>
    <w:rsid w:val="00292043"/>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30C94"/>
    <w:rsid w:val="003317E1"/>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55E"/>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A4279"/>
    <w:rsid w:val="004B1CEA"/>
    <w:rsid w:val="004B3AD0"/>
    <w:rsid w:val="004B5C26"/>
    <w:rsid w:val="004C2B4B"/>
    <w:rsid w:val="004C57FB"/>
    <w:rsid w:val="004C65B3"/>
    <w:rsid w:val="004C6664"/>
    <w:rsid w:val="004C713B"/>
    <w:rsid w:val="004C77CD"/>
    <w:rsid w:val="004C7917"/>
    <w:rsid w:val="004D1A2C"/>
    <w:rsid w:val="004D2709"/>
    <w:rsid w:val="004D2BD5"/>
    <w:rsid w:val="004D3BA8"/>
    <w:rsid w:val="004D4D80"/>
    <w:rsid w:val="004D7CB0"/>
    <w:rsid w:val="004E17D4"/>
    <w:rsid w:val="004E29A1"/>
    <w:rsid w:val="004E2F11"/>
    <w:rsid w:val="004E326B"/>
    <w:rsid w:val="004E3DD0"/>
    <w:rsid w:val="004F215A"/>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19B0"/>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68B9"/>
    <w:rsid w:val="005A766F"/>
    <w:rsid w:val="005B2FC8"/>
    <w:rsid w:val="005C0235"/>
    <w:rsid w:val="005C51F9"/>
    <w:rsid w:val="005C555C"/>
    <w:rsid w:val="005C563B"/>
    <w:rsid w:val="005C593E"/>
    <w:rsid w:val="005C5DD8"/>
    <w:rsid w:val="005C675E"/>
    <w:rsid w:val="005C6EC8"/>
    <w:rsid w:val="005C762C"/>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2E13"/>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2BB"/>
    <w:rsid w:val="006B1563"/>
    <w:rsid w:val="006B17A6"/>
    <w:rsid w:val="006B23D7"/>
    <w:rsid w:val="006B2FEA"/>
    <w:rsid w:val="006B2FFB"/>
    <w:rsid w:val="006B32D3"/>
    <w:rsid w:val="006B35C7"/>
    <w:rsid w:val="006B3886"/>
    <w:rsid w:val="006B6170"/>
    <w:rsid w:val="006B76A6"/>
    <w:rsid w:val="006C0C3F"/>
    <w:rsid w:val="006C2506"/>
    <w:rsid w:val="006C4209"/>
    <w:rsid w:val="006C5205"/>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1977"/>
    <w:rsid w:val="00854310"/>
    <w:rsid w:val="008547C4"/>
    <w:rsid w:val="00860428"/>
    <w:rsid w:val="008612BA"/>
    <w:rsid w:val="00862009"/>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5EDE"/>
    <w:rsid w:val="00897001"/>
    <w:rsid w:val="008A22B9"/>
    <w:rsid w:val="008A4150"/>
    <w:rsid w:val="008A4DBF"/>
    <w:rsid w:val="008A6F03"/>
    <w:rsid w:val="008A79D9"/>
    <w:rsid w:val="008B48AA"/>
    <w:rsid w:val="008B749B"/>
    <w:rsid w:val="008C6E9C"/>
    <w:rsid w:val="008C71C9"/>
    <w:rsid w:val="008D3BFF"/>
    <w:rsid w:val="008D4404"/>
    <w:rsid w:val="008D4795"/>
    <w:rsid w:val="008D6D48"/>
    <w:rsid w:val="008D721E"/>
    <w:rsid w:val="008D785C"/>
    <w:rsid w:val="008E165F"/>
    <w:rsid w:val="008E1F76"/>
    <w:rsid w:val="008F4F19"/>
    <w:rsid w:val="008F5DFF"/>
    <w:rsid w:val="009014E0"/>
    <w:rsid w:val="00901928"/>
    <w:rsid w:val="00902CF7"/>
    <w:rsid w:val="009039FD"/>
    <w:rsid w:val="00903D05"/>
    <w:rsid w:val="00906671"/>
    <w:rsid w:val="0090780F"/>
    <w:rsid w:val="009106D2"/>
    <w:rsid w:val="00910A47"/>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661AF"/>
    <w:rsid w:val="009811D5"/>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C7942"/>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1650E"/>
    <w:rsid w:val="00A2179C"/>
    <w:rsid w:val="00A23ABD"/>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206"/>
    <w:rsid w:val="00A67A5A"/>
    <w:rsid w:val="00A72E9B"/>
    <w:rsid w:val="00A730AC"/>
    <w:rsid w:val="00A765DD"/>
    <w:rsid w:val="00A7698C"/>
    <w:rsid w:val="00A774D9"/>
    <w:rsid w:val="00A80092"/>
    <w:rsid w:val="00A81BB6"/>
    <w:rsid w:val="00A91D7E"/>
    <w:rsid w:val="00A95966"/>
    <w:rsid w:val="00A9784E"/>
    <w:rsid w:val="00AA40BC"/>
    <w:rsid w:val="00AA4AE6"/>
    <w:rsid w:val="00AA6F5D"/>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7798"/>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0705"/>
    <w:rsid w:val="00BB6416"/>
    <w:rsid w:val="00BB7873"/>
    <w:rsid w:val="00BC16F4"/>
    <w:rsid w:val="00BC6D26"/>
    <w:rsid w:val="00BC71FC"/>
    <w:rsid w:val="00BD1E7C"/>
    <w:rsid w:val="00BD2A89"/>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1615F"/>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567A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49EA"/>
    <w:rsid w:val="00CE7248"/>
    <w:rsid w:val="00CF204D"/>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2369"/>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01F"/>
    <w:rsid w:val="00E03FE4"/>
    <w:rsid w:val="00E04039"/>
    <w:rsid w:val="00E04225"/>
    <w:rsid w:val="00E055B1"/>
    <w:rsid w:val="00E06A52"/>
    <w:rsid w:val="00E10548"/>
    <w:rsid w:val="00E12C6F"/>
    <w:rsid w:val="00E14A68"/>
    <w:rsid w:val="00E15BAA"/>
    <w:rsid w:val="00E20F96"/>
    <w:rsid w:val="00E21AC5"/>
    <w:rsid w:val="00E22834"/>
    <w:rsid w:val="00E23247"/>
    <w:rsid w:val="00E237D9"/>
    <w:rsid w:val="00E239A5"/>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B69"/>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B51"/>
    <w:rsid w:val="00F97D3C"/>
    <w:rsid w:val="00F97EEF"/>
    <w:rsid w:val="00FA0699"/>
    <w:rsid w:val="00FA3147"/>
    <w:rsid w:val="00FA31F6"/>
    <w:rsid w:val="00FA3619"/>
    <w:rsid w:val="00FA72D3"/>
    <w:rsid w:val="00FB0A03"/>
    <w:rsid w:val="00FB3302"/>
    <w:rsid w:val="00FB581B"/>
    <w:rsid w:val="00FB5CE3"/>
    <w:rsid w:val="00FB6D4F"/>
    <w:rsid w:val="00FB700C"/>
    <w:rsid w:val="00FB705E"/>
    <w:rsid w:val="00FC2D5A"/>
    <w:rsid w:val="00FC4E42"/>
    <w:rsid w:val="00FC5696"/>
    <w:rsid w:val="00FC736E"/>
    <w:rsid w:val="00FD0FD0"/>
    <w:rsid w:val="00FD21C9"/>
    <w:rsid w:val="00FD3B5D"/>
    <w:rsid w:val="00FD3EE3"/>
    <w:rsid w:val="00FD66E8"/>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2</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Ericsson_0114</cp:lastModifiedBy>
  <cp:revision>523</cp:revision>
  <cp:lastPrinted>2002-04-23T07:10:00Z</cp:lastPrinted>
  <dcterms:created xsi:type="dcterms:W3CDTF">2022-05-18T15:28:00Z</dcterms:created>
  <dcterms:modified xsi:type="dcterms:W3CDTF">2025-01-14T19:05:00Z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